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089" w:rsidRPr="00B10239" w:rsidRDefault="00ED4089" w:rsidP="00ED4089">
      <w:pPr>
        <w:pStyle w:val="Heading1"/>
      </w:pPr>
      <w:proofErr w:type="gramStart"/>
      <w:r w:rsidRPr="00B10239">
        <w:t>GERMANIUM(</w:t>
      </w:r>
      <w:proofErr w:type="gramEnd"/>
      <w:r w:rsidRPr="00B10239">
        <w:t>IV) OXIDE    CAS # 1310538</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w:t>
      </w:r>
      <w:proofErr w:type="gramStart"/>
      <w:r w:rsidRPr="00B10239">
        <w:rPr>
          <w:rFonts w:ascii="Courier New" w:hAnsi="Courier New" w:cs="Courier New"/>
          <w:sz w:val="20"/>
        </w:rPr>
        <w:t>F   G   .</w:t>
      </w:r>
      <w:proofErr w:type="gramEnd"/>
      <w:r w:rsidRPr="00B10239">
        <w:rPr>
          <w:rFonts w:ascii="Courier New" w:hAnsi="Courier New" w:cs="Courier New"/>
          <w:sz w:val="20"/>
        </w:rPr>
        <w:t xml:space="preserve">   .   .   .   .</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ACUTE TOXICTY RISK INDEX 4 - </w:t>
      </w:r>
      <w:proofErr w:type="gramStart"/>
      <w:r w:rsidRPr="00B10239">
        <w:rPr>
          <w:rFonts w:ascii="Courier New" w:hAnsi="Courier New" w:cs="Courier New"/>
          <w:sz w:val="20"/>
        </w:rPr>
        <w:t>LD50  1250.0</w:t>
      </w:r>
      <w:proofErr w:type="gramEnd"/>
      <w:r w:rsidRPr="00B10239">
        <w:rPr>
          <w:rFonts w:ascii="Courier New" w:hAnsi="Courier New" w:cs="Courier New"/>
          <w:sz w:val="20"/>
        </w:rPr>
        <w:t xml:space="preserve"> mg/Kg</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1420.0</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ROUTE OF EXPOSURE</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Inhalation: May be harmful if inhaled.</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Ingestion: Harmful if swallowed. </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TARGET ORGAN(S) OR SYSTEM(S)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Damage to the kidneys.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Damage to the liver.</w:t>
      </w:r>
      <w:proofErr w:type="gramEnd"/>
      <w:r w:rsidRPr="00B10239">
        <w:rPr>
          <w:rFonts w:ascii="Courier New" w:hAnsi="Courier New" w:cs="Courier New"/>
          <w:sz w:val="20"/>
        </w:rPr>
        <w:t xml:space="preserve"> </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SIGNS AND SYMPTOMS OF EXPOSURE</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Prolonged exposure can cause: Damage to the kidneys. Damage to</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the</w:t>
      </w:r>
      <w:proofErr w:type="gramEnd"/>
      <w:r w:rsidRPr="00B10239">
        <w:rPr>
          <w:rFonts w:ascii="Courier New" w:hAnsi="Courier New" w:cs="Courier New"/>
          <w:sz w:val="20"/>
        </w:rPr>
        <w:t xml:space="preserve"> liver. </w:t>
      </w:r>
      <w:proofErr w:type="gramStart"/>
      <w:r w:rsidRPr="00B10239">
        <w:rPr>
          <w:rFonts w:ascii="Courier New" w:hAnsi="Courier New" w:cs="Courier New"/>
          <w:sz w:val="20"/>
        </w:rPr>
        <w:t>Blood effects.</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Electrolyte imbalance.</w:t>
      </w:r>
      <w:proofErr w:type="gramEnd"/>
      <w:r w:rsidRPr="00B10239">
        <w:rPr>
          <w:rFonts w:ascii="Courier New" w:hAnsi="Courier New" w:cs="Courier New"/>
          <w:sz w:val="20"/>
        </w:rPr>
        <w:t xml:space="preserve"> Neurotoxic</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effects</w:t>
      </w:r>
      <w:proofErr w:type="gramEnd"/>
      <w:r w:rsidRPr="00B10239">
        <w:rPr>
          <w:rFonts w:ascii="Courier New" w:hAnsi="Courier New" w:cs="Courier New"/>
          <w:sz w:val="20"/>
        </w:rPr>
        <w:t>. To the best of our knowledge, the chemical, physical,</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toxicological properties have not been thoroughly</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 xml:space="preserve">. </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PHYSICAL CHARACTERISTICS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PHYSICAL STATE:  Solid</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SEGREGATION: SHELF # 2</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STORAGE GROUP(S):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WASTE CHARACTERISTIC HAZARD:   CORROSIVE</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spellEnd"/>
      <w:proofErr w:type="gramEnd"/>
      <w:r w:rsidRPr="00B10239">
        <w:rPr>
          <w:rFonts w:ascii="Courier New" w:hAnsi="Courier New" w:cs="Courier New"/>
          <w:sz w:val="20"/>
        </w:rPr>
        <w:t xml:space="preserve"> to Avoid: 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FIRE EXTINGUISHER:  Noncombustible. Use extinguishing media appropriate to</w:t>
      </w:r>
    </w:p>
    <w:p w:rsidR="00ED4089" w:rsidRPr="00B10239" w:rsidRDefault="00ED4089" w:rsidP="00ED4089">
      <w:pPr>
        <w:pStyle w:val="PlainText"/>
        <w:rPr>
          <w:rFonts w:ascii="Courier New" w:hAnsi="Courier New" w:cs="Courier New"/>
          <w:sz w:val="20"/>
        </w:rPr>
      </w:pPr>
      <w:proofErr w:type="gramStart"/>
      <w:r w:rsidRPr="00B10239">
        <w:rPr>
          <w:rFonts w:ascii="Courier New" w:hAnsi="Courier New" w:cs="Courier New"/>
          <w:sz w:val="20"/>
        </w:rPr>
        <w:t>surrounding</w:t>
      </w:r>
      <w:proofErr w:type="gramEnd"/>
      <w:r w:rsidRPr="00B10239">
        <w:rPr>
          <w:rFonts w:ascii="Courier New" w:hAnsi="Courier New" w:cs="Courier New"/>
          <w:sz w:val="20"/>
        </w:rPr>
        <w:t xml:space="preserve"> fire conditions.</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REACTIVE PROPERTIES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ED4089" w:rsidRPr="00B10239" w:rsidRDefault="00ED4089" w:rsidP="00ED4089">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GLOBALLY HARMONIZED SYSTEM OF CLASSIFICATION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EU ADDITIONAL CLASSIFICATION</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Symbol of Danger: </w:t>
      </w:r>
      <w:proofErr w:type="spellStart"/>
      <w:r w:rsidRPr="00B10239">
        <w:rPr>
          <w:rFonts w:ascii="Courier New" w:hAnsi="Courier New" w:cs="Courier New"/>
          <w:sz w:val="20"/>
        </w:rPr>
        <w:t>Xn</w:t>
      </w:r>
      <w:proofErr w:type="spellEnd"/>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Indication of Danger: Harmful.</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R: 22</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Risk Statements: Harmful if swallowed. </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US DEPARTMENT OF ENERGY TEEL'S</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lastRenderedPageBreak/>
        <w:t xml:space="preserve">   DOE Occupational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75 mg/m3</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2</w:t>
      </w:r>
      <w:proofErr w:type="gramEnd"/>
      <w:r w:rsidRPr="00B10239">
        <w:rPr>
          <w:rFonts w:ascii="Courier New" w:hAnsi="Courier New" w:cs="Courier New"/>
          <w:sz w:val="20"/>
        </w:rPr>
        <w:t xml:space="preserve"> mg/m3</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DOE Ceiling Limit 15 mg/m3</w:t>
      </w:r>
    </w:p>
    <w:p w:rsidR="00ED4089" w:rsidRPr="00B10239" w:rsidRDefault="00ED4089" w:rsidP="00ED4089">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ED4089" w:rsidRPr="00B10239" w:rsidRDefault="00ED4089" w:rsidP="00ED4089">
      <w:pPr>
        <w:pStyle w:val="PlainText"/>
        <w:rPr>
          <w:rFonts w:ascii="Courier New" w:hAnsi="Courier New" w:cs="Courier New"/>
          <w:sz w:val="20"/>
        </w:rPr>
      </w:pPr>
    </w:p>
    <w:p w:rsidR="00ED4089" w:rsidRPr="00B10239" w:rsidRDefault="00ED4089" w:rsidP="00ED4089">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089"/>
    <w:rsid w:val="00A015BB"/>
    <w:rsid w:val="00ED4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40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089"/>
    <w:rPr>
      <w:rFonts w:ascii="Courier New" w:eastAsia="Times New Roman" w:hAnsi="Courier New" w:cs="Times New Roman"/>
      <w:b/>
      <w:bCs/>
      <w:sz w:val="20"/>
      <w:szCs w:val="28"/>
    </w:rPr>
  </w:style>
  <w:style w:type="paragraph" w:styleId="NoSpacing">
    <w:name w:val="No Spacing"/>
    <w:autoRedefine/>
    <w:uiPriority w:val="1"/>
    <w:qFormat/>
    <w:rsid w:val="00ED40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D40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D408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D408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089"/>
    <w:rPr>
      <w:rFonts w:ascii="Courier New" w:eastAsia="Times New Roman" w:hAnsi="Courier New" w:cs="Times New Roman"/>
      <w:b/>
      <w:bCs/>
      <w:sz w:val="20"/>
      <w:szCs w:val="28"/>
    </w:rPr>
  </w:style>
  <w:style w:type="paragraph" w:styleId="NoSpacing">
    <w:name w:val="No Spacing"/>
    <w:autoRedefine/>
    <w:uiPriority w:val="1"/>
    <w:qFormat/>
    <w:rsid w:val="00ED408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D408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D408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2012-09-06T05:30:00Z</dcterms:created>
  <dcterms:modified xsi:type="dcterms:W3CDTF">2012-09-06T05:30:00Z</dcterms:modified>
</cp:coreProperties>
</file>